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D90A4E" w:rsidP="00D90A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90A4E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90A4E" w:rsidRPr="00D90A4E">
        <w:rPr>
          <w:rFonts w:ascii="Arial" w:hAnsi="Arial" w:cs="Arial"/>
          <w:sz w:val="20"/>
          <w:szCs w:val="20"/>
        </w:rPr>
        <w:t xml:space="preserve">Dong Bac Transport </w:t>
      </w:r>
      <w:proofErr w:type="gramStart"/>
      <w:r w:rsidR="00D90A4E" w:rsidRPr="00D90A4E">
        <w:rPr>
          <w:rFonts w:ascii="Arial" w:hAnsi="Arial" w:cs="Arial"/>
          <w:sz w:val="20"/>
          <w:szCs w:val="20"/>
        </w:rPr>
        <w:t>And</w:t>
      </w:r>
      <w:proofErr w:type="gramEnd"/>
      <w:r w:rsidR="00D90A4E" w:rsidRPr="00D90A4E">
        <w:rPr>
          <w:rFonts w:ascii="Arial" w:hAnsi="Arial" w:cs="Arial"/>
          <w:sz w:val="20"/>
          <w:szCs w:val="20"/>
        </w:rPr>
        <w:t xml:space="preserve"> Processing Of Coal Joint Stock Company</w:t>
      </w:r>
      <w:r w:rsidR="00D90A4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90A4E">
        <w:rPr>
          <w:rFonts w:ascii="Arial" w:hAnsi="Arial" w:cs="Arial"/>
          <w:sz w:val="20"/>
          <w:szCs w:val="20"/>
        </w:rPr>
        <w:t>annual General Mandate 2020</w:t>
      </w:r>
      <w:r w:rsidR="002B19B9" w:rsidRPr="002B19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D90A4E" w:rsidRDefault="00D90A4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Statement on operation results of 2019 and operation plan for 2020</w:t>
      </w:r>
    </w:p>
    <w:p w:rsidR="00D90A4E" w:rsidRDefault="00D90A4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Statement on operation results of 2019, operation plan for 2020 as follows:</w:t>
      </w:r>
    </w:p>
    <w:p w:rsidR="00D90A4E" w:rsidRDefault="00D90A4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74"/>
        <w:gridCol w:w="1578"/>
        <w:gridCol w:w="1576"/>
        <w:gridCol w:w="1587"/>
        <w:gridCol w:w="1589"/>
      </w:tblGrid>
      <w:tr w:rsidR="00777C64" w:rsidTr="0051550B">
        <w:tc>
          <w:tcPr>
            <w:tcW w:w="472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74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78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76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87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89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%</w:t>
            </w:r>
          </w:p>
        </w:tc>
      </w:tr>
      <w:tr w:rsidR="00777C64" w:rsidTr="0051550B">
        <w:tc>
          <w:tcPr>
            <w:tcW w:w="472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578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76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587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589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777C64" w:rsidTr="0051550B">
        <w:tc>
          <w:tcPr>
            <w:tcW w:w="472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 output</w:t>
            </w:r>
          </w:p>
        </w:tc>
        <w:tc>
          <w:tcPr>
            <w:tcW w:w="1578" w:type="dxa"/>
          </w:tcPr>
          <w:p w:rsidR="00777C64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1,693,500</w:t>
            </w:r>
          </w:p>
        </w:tc>
        <w:tc>
          <w:tcPr>
            <w:tcW w:w="1587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3,053,966.59</w:t>
            </w:r>
          </w:p>
        </w:tc>
        <w:tc>
          <w:tcPr>
            <w:tcW w:w="1589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180.33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Clean coal (finished product)</w:t>
            </w:r>
          </w:p>
        </w:tc>
        <w:tc>
          <w:tcPr>
            <w:tcW w:w="1578" w:type="dxa"/>
          </w:tcPr>
          <w:p w:rsidR="0051550B" w:rsidRDefault="0051550B" w:rsidP="0051550B">
            <w:r w:rsidRPr="007B11BB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1,293.500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2,631,663.61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203.45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Raw coal</w:t>
            </w:r>
          </w:p>
        </w:tc>
        <w:tc>
          <w:tcPr>
            <w:tcW w:w="1578" w:type="dxa"/>
          </w:tcPr>
          <w:p w:rsidR="0051550B" w:rsidRDefault="0051550B" w:rsidP="0051550B">
            <w:r w:rsidRPr="007B11BB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422,302.98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105.58</w:t>
            </w:r>
          </w:p>
        </w:tc>
      </w:tr>
      <w:tr w:rsidR="00777C64" w:rsidTr="0051550B">
        <w:tc>
          <w:tcPr>
            <w:tcW w:w="472" w:type="dxa"/>
          </w:tcPr>
          <w:p w:rsidR="00777C64" w:rsidRDefault="00777C64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:rsidR="00777C64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Clean NK coal</w:t>
            </w:r>
          </w:p>
        </w:tc>
        <w:tc>
          <w:tcPr>
            <w:tcW w:w="1578" w:type="dxa"/>
          </w:tcPr>
          <w:p w:rsidR="00777C64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576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357,400</w:t>
            </w:r>
          </w:p>
        </w:tc>
        <w:tc>
          <w:tcPr>
            <w:tcW w:w="1587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388,780.77</w:t>
            </w:r>
          </w:p>
        </w:tc>
        <w:tc>
          <w:tcPr>
            <w:tcW w:w="1589" w:type="dxa"/>
          </w:tcPr>
          <w:p w:rsidR="00777C64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108.78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 sales</w:t>
            </w:r>
          </w:p>
        </w:tc>
        <w:tc>
          <w:tcPr>
            <w:tcW w:w="1578" w:type="dxa"/>
          </w:tcPr>
          <w:p w:rsidR="0051550B" w:rsidRDefault="0051550B" w:rsidP="0051550B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1,650,900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2,813,217.44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170.41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Waterway transport</w:t>
            </w:r>
          </w:p>
        </w:tc>
        <w:tc>
          <w:tcPr>
            <w:tcW w:w="1578" w:type="dxa"/>
          </w:tcPr>
          <w:p w:rsidR="0051550B" w:rsidRDefault="0051550B" w:rsidP="0051550B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4,003,300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6,686,848.68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167.03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78" w:type="dxa"/>
          </w:tcPr>
          <w:p w:rsidR="0051550B" w:rsidRDefault="0051550B" w:rsidP="0051550B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3,060,157.81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5,588,543.30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182.62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78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55,991.09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223.96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78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45,152.85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225.76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578" w:type="dxa"/>
          </w:tcPr>
          <w:p w:rsidR="0051550B" w:rsidRDefault="0051550B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76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28,855.44</w:t>
            </w:r>
          </w:p>
        </w:tc>
        <w:tc>
          <w:tcPr>
            <w:tcW w:w="1587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85,480.80</w:t>
            </w:r>
          </w:p>
        </w:tc>
        <w:tc>
          <w:tcPr>
            <w:tcW w:w="1589" w:type="dxa"/>
          </w:tcPr>
          <w:p w:rsidR="0051550B" w:rsidRDefault="00130BD3" w:rsidP="00515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596.24</w:t>
            </w:r>
          </w:p>
        </w:tc>
      </w:tr>
      <w:tr w:rsidR="0051550B" w:rsidTr="0051550B">
        <w:tc>
          <w:tcPr>
            <w:tcW w:w="472" w:type="dxa"/>
          </w:tcPr>
          <w:p w:rsidR="0051550B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51550B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salary</w:t>
            </w:r>
          </w:p>
        </w:tc>
        <w:tc>
          <w:tcPr>
            <w:tcW w:w="1578" w:type="dxa"/>
          </w:tcPr>
          <w:p w:rsidR="0051550B" w:rsidRDefault="0051550B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576" w:type="dxa"/>
          </w:tcPr>
          <w:p w:rsidR="0051550B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14,557,000</w:t>
            </w:r>
          </w:p>
        </w:tc>
        <w:tc>
          <w:tcPr>
            <w:tcW w:w="1587" w:type="dxa"/>
          </w:tcPr>
          <w:p w:rsidR="0051550B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18,910,000</w:t>
            </w:r>
          </w:p>
        </w:tc>
        <w:tc>
          <w:tcPr>
            <w:tcW w:w="1589" w:type="dxa"/>
          </w:tcPr>
          <w:p w:rsidR="0051550B" w:rsidRDefault="00130BD3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129.90</w:t>
            </w:r>
          </w:p>
        </w:tc>
      </w:tr>
    </w:tbl>
    <w:p w:rsidR="00D90A4E" w:rsidRDefault="00D90A4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547" w:rsidRDefault="00C64547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C64547" w:rsidTr="005E105A">
        <w:tc>
          <w:tcPr>
            <w:tcW w:w="473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4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4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5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C64547" w:rsidTr="005E105A">
        <w:tc>
          <w:tcPr>
            <w:tcW w:w="473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914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66,300</w:t>
            </w:r>
          </w:p>
        </w:tc>
        <w:tc>
          <w:tcPr>
            <w:tcW w:w="1915" w:type="dxa"/>
          </w:tcPr>
          <w:p w:rsidR="00C64547" w:rsidRDefault="00C64547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 coal output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EE6F18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2,323,900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Clean coal (finished product)</w:t>
            </w:r>
          </w:p>
        </w:tc>
        <w:tc>
          <w:tcPr>
            <w:tcW w:w="1914" w:type="dxa"/>
          </w:tcPr>
          <w:p w:rsidR="005E105A" w:rsidRDefault="005E105A" w:rsidP="005E105A">
            <w:r w:rsidRPr="007B11BB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EE6F18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1,923,900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Raw coal</w:t>
            </w:r>
          </w:p>
        </w:tc>
        <w:tc>
          <w:tcPr>
            <w:tcW w:w="1914" w:type="dxa"/>
          </w:tcPr>
          <w:p w:rsidR="005E105A" w:rsidRDefault="005E105A" w:rsidP="005E105A">
            <w:r w:rsidRPr="007B11BB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EE6F18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Clean NK coal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914" w:type="dxa"/>
          </w:tcPr>
          <w:p w:rsidR="005E105A" w:rsidRDefault="00EE6F18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358,000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 sales</w:t>
            </w:r>
          </w:p>
        </w:tc>
        <w:tc>
          <w:tcPr>
            <w:tcW w:w="1914" w:type="dxa"/>
          </w:tcPr>
          <w:p w:rsidR="005E105A" w:rsidRDefault="005E105A" w:rsidP="005E105A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2,281,900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Waterway transport</w:t>
            </w:r>
          </w:p>
        </w:tc>
        <w:tc>
          <w:tcPr>
            <w:tcW w:w="1914" w:type="dxa"/>
          </w:tcPr>
          <w:p w:rsidR="005E105A" w:rsidRDefault="005E105A" w:rsidP="005E105A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7,140,000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14" w:type="dxa"/>
          </w:tcPr>
          <w:p w:rsidR="005E105A" w:rsidRDefault="005E105A" w:rsidP="005E105A">
            <w:r w:rsidRPr="00BE1C85">
              <w:rPr>
                <w:rFonts w:ascii="Arial" w:hAnsi="Arial" w:cs="Arial"/>
                <w:sz w:val="20"/>
                <w:szCs w:val="20"/>
              </w:rPr>
              <w:t xml:space="preserve">Ton 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4,422,014.35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28,250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35,783.13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salary</w:t>
            </w:r>
          </w:p>
        </w:tc>
        <w:tc>
          <w:tcPr>
            <w:tcW w:w="1914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14,184,000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5A" w:rsidTr="005E105A">
        <w:tc>
          <w:tcPr>
            <w:tcW w:w="473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0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61306A">
              <w:rPr>
                <w:rFonts w:ascii="Arial" w:hAnsi="Arial" w:cs="Arial"/>
                <w:sz w:val="20"/>
                <w:szCs w:val="20"/>
              </w:rPr>
              <w:t>rate extracted to the funds</w:t>
            </w:r>
          </w:p>
        </w:tc>
        <w:tc>
          <w:tcPr>
            <w:tcW w:w="1914" w:type="dxa"/>
          </w:tcPr>
          <w:p w:rsidR="005E105A" w:rsidRDefault="0061306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profit</w:t>
            </w:r>
          </w:p>
        </w:tc>
        <w:tc>
          <w:tcPr>
            <w:tcW w:w="1914" w:type="dxa"/>
          </w:tcPr>
          <w:p w:rsidR="005E105A" w:rsidRDefault="009D7A09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15" w:type="dxa"/>
          </w:tcPr>
          <w:p w:rsidR="005E105A" w:rsidRDefault="005E105A" w:rsidP="005E1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6A" w:rsidTr="005E105A">
        <w:tc>
          <w:tcPr>
            <w:tcW w:w="473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0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dividend payment rate</w:t>
            </w:r>
          </w:p>
        </w:tc>
        <w:tc>
          <w:tcPr>
            <w:tcW w:w="1914" w:type="dxa"/>
          </w:tcPr>
          <w:p w:rsidR="0061306A" w:rsidRDefault="0061306A" w:rsidP="0061306A">
            <w:r w:rsidRPr="00D7266D">
              <w:rPr>
                <w:rFonts w:ascii="Arial" w:hAnsi="Arial" w:cs="Arial"/>
                <w:sz w:val="20"/>
                <w:szCs w:val="20"/>
              </w:rPr>
              <w:t>% profit</w:t>
            </w:r>
          </w:p>
        </w:tc>
        <w:tc>
          <w:tcPr>
            <w:tcW w:w="1914" w:type="dxa"/>
          </w:tcPr>
          <w:p w:rsidR="0061306A" w:rsidRDefault="009D7A09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915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6A" w:rsidTr="005E105A">
        <w:tc>
          <w:tcPr>
            <w:tcW w:w="473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cash</w:t>
            </w:r>
          </w:p>
        </w:tc>
        <w:tc>
          <w:tcPr>
            <w:tcW w:w="1914" w:type="dxa"/>
          </w:tcPr>
          <w:p w:rsidR="0061306A" w:rsidRDefault="0061306A" w:rsidP="0061306A">
            <w:r w:rsidRPr="00D7266D">
              <w:rPr>
                <w:rFonts w:ascii="Arial" w:hAnsi="Arial" w:cs="Arial"/>
                <w:sz w:val="20"/>
                <w:szCs w:val="20"/>
              </w:rPr>
              <w:t>% profit</w:t>
            </w:r>
          </w:p>
        </w:tc>
        <w:tc>
          <w:tcPr>
            <w:tcW w:w="1914" w:type="dxa"/>
          </w:tcPr>
          <w:p w:rsidR="0061306A" w:rsidRDefault="009D7A09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  <w:tc>
          <w:tcPr>
            <w:tcW w:w="1915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6A" w:rsidTr="005E105A">
        <w:tc>
          <w:tcPr>
            <w:tcW w:w="473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shares</w:t>
            </w:r>
          </w:p>
        </w:tc>
        <w:tc>
          <w:tcPr>
            <w:tcW w:w="1914" w:type="dxa"/>
          </w:tcPr>
          <w:p w:rsidR="0061306A" w:rsidRDefault="0061306A" w:rsidP="0061306A">
            <w:r w:rsidRPr="00D7266D">
              <w:rPr>
                <w:rFonts w:ascii="Arial" w:hAnsi="Arial" w:cs="Arial"/>
                <w:sz w:val="20"/>
                <w:szCs w:val="20"/>
              </w:rPr>
              <w:t>% profit</w:t>
            </w:r>
          </w:p>
        </w:tc>
        <w:tc>
          <w:tcPr>
            <w:tcW w:w="1914" w:type="dxa"/>
          </w:tcPr>
          <w:p w:rsidR="0061306A" w:rsidRDefault="009D7A09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915" w:type="dxa"/>
          </w:tcPr>
          <w:p w:rsidR="0061306A" w:rsidRDefault="0061306A" w:rsidP="006130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547" w:rsidRDefault="00C64547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0A4E" w:rsidRDefault="009D7A0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authorized the Board of Directors to adjust the operation plan of 2020 in accordance with the actual situation of the Company</w:t>
      </w:r>
    </w:p>
    <w:p w:rsidR="009D7A09" w:rsidRDefault="009D7A0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statement on audited financial statement of 2019</w:t>
      </w:r>
    </w:p>
    <w:p w:rsidR="009D7A09" w:rsidRDefault="009D7A0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whole audited financial statement of 2019</w:t>
      </w:r>
    </w:p>
    <w:p w:rsidR="009D7A09" w:rsidRDefault="009D7A09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Statement on report on operation of the Board of Directors in 2019 and operation plan for 2020</w:t>
      </w:r>
    </w:p>
    <w:p w:rsidR="002128E5" w:rsidRDefault="009D7A09" w:rsidP="002128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approved the </w:t>
      </w:r>
      <w:r w:rsidR="002128E5">
        <w:rPr>
          <w:rFonts w:ascii="Arial" w:hAnsi="Arial" w:cs="Arial"/>
          <w:sz w:val="20"/>
          <w:szCs w:val="20"/>
        </w:rPr>
        <w:t>report on operation of the Board of Directors in 2019 and operation plan for 2020</w:t>
      </w:r>
    </w:p>
    <w:p w:rsidR="009D7A09" w:rsidRDefault="002128E5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Statement on report on assessment of operation results of the Supervisory Board in 2019 and operation plan for 2020</w:t>
      </w:r>
    </w:p>
    <w:p w:rsidR="002128E5" w:rsidRDefault="002128E5" w:rsidP="002128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 the report on assessment of operation results of the Supervisory Board in 2019 and operation plan for 2020</w:t>
      </w:r>
    </w:p>
    <w:p w:rsidR="002128E5" w:rsidRDefault="002128E5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Statement on remuneration payment to members of the Board of Directors and Supervisory Board in 2019 and plan for 2020</w:t>
      </w:r>
    </w:p>
    <w:p w:rsidR="002128E5" w:rsidRDefault="002128E5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approved the statement on remuneration payment to members of the Board of Directors and Supervisory Board in 2019, </w:t>
      </w:r>
      <w:r w:rsidR="00595D36">
        <w:rPr>
          <w:rFonts w:ascii="Arial" w:hAnsi="Arial" w:cs="Arial"/>
          <w:sz w:val="20"/>
          <w:szCs w:val="20"/>
        </w:rPr>
        <w:t>suggesting the plan for 2020 as follows:</w:t>
      </w:r>
    </w:p>
    <w:p w:rsidR="00595D36" w:rsidRDefault="00595D3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Remuneration settlement in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218"/>
        <w:gridCol w:w="1346"/>
        <w:gridCol w:w="1346"/>
        <w:gridCol w:w="1366"/>
        <w:gridCol w:w="1473"/>
        <w:gridCol w:w="1354"/>
      </w:tblGrid>
      <w:tr w:rsidR="00595D36" w:rsidTr="00F74775">
        <w:tc>
          <w:tcPr>
            <w:tcW w:w="473" w:type="dxa"/>
          </w:tcPr>
          <w:p w:rsidR="00595D36" w:rsidRDefault="00A70462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18" w:type="dxa"/>
          </w:tcPr>
          <w:p w:rsidR="00595D36" w:rsidRDefault="00E24D8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346" w:type="dxa"/>
          </w:tcPr>
          <w:p w:rsidR="00595D36" w:rsidRDefault="00E24D8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months</w:t>
            </w:r>
          </w:p>
        </w:tc>
        <w:tc>
          <w:tcPr>
            <w:tcW w:w="136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473" w:type="dxa"/>
          </w:tcPr>
          <w:p w:rsidR="00595D36" w:rsidRDefault="00F74775" w:rsidP="00FA63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fund</w:t>
            </w:r>
            <w:r w:rsidR="00FA631A">
              <w:rPr>
                <w:rFonts w:ascii="Arial" w:hAnsi="Arial" w:cs="Arial"/>
                <w:sz w:val="20"/>
                <w:szCs w:val="20"/>
              </w:rPr>
              <w:t xml:space="preserve"> settlement</w:t>
            </w:r>
          </w:p>
        </w:tc>
        <w:tc>
          <w:tcPr>
            <w:tcW w:w="1354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100,000,000</w:t>
            </w:r>
          </w:p>
        </w:tc>
        <w:tc>
          <w:tcPr>
            <w:tcW w:w="1354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134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2,500,000</w:t>
            </w:r>
          </w:p>
        </w:tc>
        <w:tc>
          <w:tcPr>
            <w:tcW w:w="1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1354" w:type="dxa"/>
          </w:tcPr>
          <w:p w:rsidR="00595D36" w:rsidRDefault="00595D36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D36" w:rsidTr="00F74775">
        <w:tc>
          <w:tcPr>
            <w:tcW w:w="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6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2,500,000</w:t>
            </w:r>
          </w:p>
        </w:tc>
        <w:tc>
          <w:tcPr>
            <w:tcW w:w="1473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40,000,000</w:t>
            </w:r>
          </w:p>
        </w:tc>
        <w:tc>
          <w:tcPr>
            <w:tcW w:w="1354" w:type="dxa"/>
          </w:tcPr>
          <w:p w:rsidR="00595D36" w:rsidRDefault="00F74775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election</w:t>
            </w:r>
          </w:p>
        </w:tc>
      </w:tr>
      <w:tr w:rsidR="00DE2ED1" w:rsidTr="00F74775">
        <w:tc>
          <w:tcPr>
            <w:tcW w:w="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18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  <w:tc>
          <w:tcPr>
            <w:tcW w:w="1354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D1" w:rsidTr="00F74775">
        <w:tc>
          <w:tcPr>
            <w:tcW w:w="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18,000,000</w:t>
            </w:r>
          </w:p>
        </w:tc>
        <w:tc>
          <w:tcPr>
            <w:tcW w:w="1354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D1" w:rsidTr="00F74775">
        <w:tc>
          <w:tcPr>
            <w:tcW w:w="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  <w:tc>
          <w:tcPr>
            <w:tcW w:w="1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1354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D1" w:rsidTr="00F74775">
        <w:tc>
          <w:tcPr>
            <w:tcW w:w="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4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66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142,000,000</w:t>
            </w:r>
          </w:p>
        </w:tc>
        <w:tc>
          <w:tcPr>
            <w:tcW w:w="1354" w:type="dxa"/>
          </w:tcPr>
          <w:p w:rsidR="00DE2ED1" w:rsidRDefault="00DE2ED1" w:rsidP="00DE2E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D36" w:rsidRDefault="00595D3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631A" w:rsidRDefault="00FA631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Plan for remuneration payment to the Board of Directors and Supervisor Board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218"/>
        <w:gridCol w:w="1346"/>
        <w:gridCol w:w="1346"/>
        <w:gridCol w:w="1366"/>
        <w:gridCol w:w="1473"/>
        <w:gridCol w:w="1354"/>
      </w:tblGrid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remuneration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months</w:t>
            </w: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1473" w:type="dxa"/>
          </w:tcPr>
          <w:p w:rsidR="00FA631A" w:rsidRDefault="00FA631A" w:rsidP="00FA63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fund 2020 (VND)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2,500,000</w:t>
            </w: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Supervisory Board 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  <w:tc>
          <w:tcPr>
            <w:tcW w:w="1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1A" w:rsidTr="004264BA">
        <w:tc>
          <w:tcPr>
            <w:tcW w:w="473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4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46" w:type="dxa"/>
          </w:tcPr>
          <w:p w:rsidR="00FA631A" w:rsidRDefault="00627358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66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FA631A" w:rsidRDefault="00627358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A631A"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  <w:tc>
          <w:tcPr>
            <w:tcW w:w="1354" w:type="dxa"/>
          </w:tcPr>
          <w:p w:rsidR="00FA631A" w:rsidRDefault="00FA631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31A" w:rsidRDefault="00FA631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7358" w:rsidRDefault="00627358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Remuneration for the Board of Directors and Supervisor Board is included in the business operation expense of the Company</w:t>
      </w:r>
    </w:p>
    <w:p w:rsidR="00627358" w:rsidRDefault="00627358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Statement on plan for profit distribution, extraction to funds, dividend payment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1530"/>
        <w:gridCol w:w="1170"/>
        <w:gridCol w:w="1998"/>
      </w:tblGrid>
      <w:tr w:rsidR="00627358" w:rsidTr="00A45C9D">
        <w:tc>
          <w:tcPr>
            <w:tcW w:w="648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30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170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  <w:tc>
          <w:tcPr>
            <w:tcW w:w="1998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627358" w:rsidTr="00A45C9D">
        <w:tc>
          <w:tcPr>
            <w:tcW w:w="648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30" w:type="dxa"/>
          </w:tcPr>
          <w:p w:rsidR="00627358" w:rsidRDefault="00B97BD2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627358" w:rsidRDefault="00627358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627358" w:rsidRDefault="00B97BD2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55,991,090,590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45,152,852,178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for construction investment capital</w:t>
            </w:r>
          </w:p>
        </w:tc>
        <w:tc>
          <w:tcPr>
            <w:tcW w:w="1530" w:type="dxa"/>
          </w:tcPr>
          <w:p w:rsidR="00B97BD2" w:rsidRDefault="00B97BD2" w:rsidP="00B97BD2"/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5,045,064,097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due to exchange rate difference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67,736,149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for distribution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40,040,051,932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 at the Company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8,008,010,386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4,004,005,193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and Reward Fund and reward fund for managers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4,004,005,193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which: + Welfare and Reward Fund 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3,704,005,193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Reward fund for managers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230F26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300,000,000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for dividend payment </w:t>
            </w:r>
          </w:p>
        </w:tc>
        <w:tc>
          <w:tcPr>
            <w:tcW w:w="1530" w:type="dxa"/>
          </w:tcPr>
          <w:p w:rsidR="00B97BD2" w:rsidRDefault="00B97BD2" w:rsidP="00B97BD2">
            <w:r w:rsidRPr="00875EA8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998" w:type="dxa"/>
          </w:tcPr>
          <w:p w:rsidR="00B97BD2" w:rsidRDefault="00230F26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32,032,041,546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rate</w:t>
            </w:r>
          </w:p>
        </w:tc>
        <w:tc>
          <w:tcPr>
            <w:tcW w:w="1530" w:type="dxa"/>
          </w:tcPr>
          <w:p w:rsidR="00B97BD2" w:rsidRPr="00B97BD2" w:rsidRDefault="00B97BD2" w:rsidP="00B97BD2">
            <w:pPr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Profit/ charter capital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by shares</w:t>
            </w:r>
          </w:p>
        </w:tc>
        <w:tc>
          <w:tcPr>
            <w:tcW w:w="1530" w:type="dxa"/>
          </w:tcPr>
          <w:p w:rsidR="00B97BD2" w:rsidRPr="00B97BD2" w:rsidRDefault="00B97BD2" w:rsidP="00B97BD2">
            <w:pPr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Profit/ charter capital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998" w:type="dxa"/>
          </w:tcPr>
          <w:p w:rsidR="00B97BD2" w:rsidRDefault="00230F26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15,300,000,000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in cash</w:t>
            </w:r>
          </w:p>
        </w:tc>
        <w:tc>
          <w:tcPr>
            <w:tcW w:w="1530" w:type="dxa"/>
          </w:tcPr>
          <w:p w:rsidR="00B97BD2" w:rsidRPr="00B97BD2" w:rsidRDefault="00B97BD2" w:rsidP="00B97BD2">
            <w:pPr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Profit/ charter capital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32.81%</w:t>
            </w:r>
          </w:p>
        </w:tc>
        <w:tc>
          <w:tcPr>
            <w:tcW w:w="1998" w:type="dxa"/>
          </w:tcPr>
          <w:p w:rsidR="00B97BD2" w:rsidRDefault="00230F26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16,732,041,546</w:t>
            </w:r>
          </w:p>
        </w:tc>
      </w:tr>
      <w:tr w:rsidR="00B97BD2" w:rsidTr="00A45C9D">
        <w:tc>
          <w:tcPr>
            <w:tcW w:w="648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in cash</w:t>
            </w:r>
          </w:p>
        </w:tc>
        <w:tc>
          <w:tcPr>
            <w:tcW w:w="1530" w:type="dxa"/>
          </w:tcPr>
          <w:p w:rsidR="00B97BD2" w:rsidRPr="00B97BD2" w:rsidRDefault="00B97BD2" w:rsidP="00B97BD2">
            <w:pPr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VND/ share</w:t>
            </w:r>
          </w:p>
        </w:tc>
        <w:tc>
          <w:tcPr>
            <w:tcW w:w="1170" w:type="dxa"/>
          </w:tcPr>
          <w:p w:rsidR="00B97BD2" w:rsidRDefault="00B97BD2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97BD2" w:rsidRDefault="00230F26" w:rsidP="00B97B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3,281</w:t>
            </w:r>
          </w:p>
        </w:tc>
      </w:tr>
    </w:tbl>
    <w:p w:rsidR="00627358" w:rsidRDefault="00627358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* Dividend payment plan for 2019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30F26">
        <w:rPr>
          <w:rFonts w:ascii="Arial" w:hAnsi="Arial" w:cs="Arial"/>
          <w:sz w:val="20"/>
          <w:szCs w:val="20"/>
        </w:rPr>
        <w:t>General Meeting of Shareholders approve</w:t>
      </w:r>
      <w:r>
        <w:rPr>
          <w:rFonts w:ascii="Arial" w:hAnsi="Arial" w:cs="Arial"/>
          <w:sz w:val="20"/>
          <w:szCs w:val="20"/>
        </w:rPr>
        <w:t>d the dividend payment for</w:t>
      </w:r>
      <w:r w:rsidRPr="00230F26">
        <w:rPr>
          <w:rFonts w:ascii="Arial" w:hAnsi="Arial" w:cs="Arial"/>
          <w:sz w:val="20"/>
          <w:szCs w:val="20"/>
        </w:rPr>
        <w:t xml:space="preserve"> 2019 and authorize</w:t>
      </w:r>
      <w:r>
        <w:rPr>
          <w:rFonts w:ascii="Arial" w:hAnsi="Arial" w:cs="Arial"/>
          <w:sz w:val="20"/>
          <w:szCs w:val="20"/>
        </w:rPr>
        <w:t>d</w:t>
      </w:r>
      <w:r w:rsidRPr="00230F26">
        <w:rPr>
          <w:rFonts w:ascii="Arial" w:hAnsi="Arial" w:cs="Arial"/>
          <w:sz w:val="20"/>
          <w:szCs w:val="20"/>
        </w:rPr>
        <w:t xml:space="preserve"> the Board of Directors to decide the time of payment and make the payment in accordance with the law.  Specifically: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+ Plan </w:t>
      </w:r>
      <w:r>
        <w:rPr>
          <w:rFonts w:ascii="Arial" w:hAnsi="Arial" w:cs="Arial"/>
          <w:sz w:val="20"/>
          <w:szCs w:val="20"/>
        </w:rPr>
        <w:t>on cash dividend payment</w:t>
      </w:r>
      <w:r w:rsidRPr="00230F26">
        <w:rPr>
          <w:rFonts w:ascii="Arial" w:hAnsi="Arial" w:cs="Arial"/>
          <w:sz w:val="20"/>
          <w:szCs w:val="20"/>
        </w:rPr>
        <w:t xml:space="preserve">: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>- Dividend payment: 32.81% of charter c</w:t>
      </w:r>
      <w:r>
        <w:rPr>
          <w:rFonts w:ascii="Arial" w:hAnsi="Arial" w:cs="Arial"/>
          <w:sz w:val="20"/>
          <w:szCs w:val="20"/>
        </w:rPr>
        <w:t>apital (equivalent to VND 3,281</w:t>
      </w:r>
      <w:r w:rsidRPr="00230F26">
        <w:rPr>
          <w:rFonts w:ascii="Arial" w:hAnsi="Arial" w:cs="Arial"/>
          <w:sz w:val="20"/>
          <w:szCs w:val="20"/>
        </w:rPr>
        <w:t xml:space="preserve">/ share)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lastRenderedPageBreak/>
        <w:t xml:space="preserve">- Total dividend payment: VND 16,732,041,546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Plan on dividend payment by shares</w:t>
      </w:r>
      <w:r w:rsidRPr="00230F26">
        <w:rPr>
          <w:rFonts w:ascii="Arial" w:hAnsi="Arial" w:cs="Arial"/>
          <w:sz w:val="20"/>
          <w:szCs w:val="20"/>
        </w:rPr>
        <w:t xml:space="preserve">: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value of share for dividend payment: VND 10,000/ </w:t>
      </w:r>
      <w:r w:rsidRPr="00230F26">
        <w:rPr>
          <w:rFonts w:ascii="Arial" w:hAnsi="Arial" w:cs="Arial"/>
          <w:sz w:val="20"/>
          <w:szCs w:val="20"/>
        </w:rPr>
        <w:t xml:space="preserve">share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30F26">
        <w:rPr>
          <w:rFonts w:ascii="Arial" w:hAnsi="Arial" w:cs="Arial"/>
          <w:sz w:val="20"/>
          <w:szCs w:val="20"/>
        </w:rPr>
        <w:t xml:space="preserve">Number of shares to be issued: 30% of charter capital (1,530,000 shares)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Proceeds of the share issue for dividend payment</w:t>
      </w:r>
      <w:r w:rsidRPr="00230F26">
        <w:rPr>
          <w:rFonts w:ascii="Arial" w:hAnsi="Arial" w:cs="Arial"/>
          <w:sz w:val="20"/>
          <w:szCs w:val="20"/>
        </w:rPr>
        <w:t xml:space="preserve">: VND 15,300,000,000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Plan on</w:t>
      </w:r>
      <w:r w:rsidRPr="00230F26">
        <w:rPr>
          <w:rFonts w:ascii="Arial" w:hAnsi="Arial" w:cs="Arial"/>
          <w:sz w:val="20"/>
          <w:szCs w:val="20"/>
        </w:rPr>
        <w:t xml:space="preserve"> supplement</w:t>
      </w:r>
      <w:r>
        <w:rPr>
          <w:rFonts w:ascii="Arial" w:hAnsi="Arial" w:cs="Arial"/>
          <w:sz w:val="20"/>
          <w:szCs w:val="20"/>
        </w:rPr>
        <w:t xml:space="preserve"> of</w:t>
      </w:r>
      <w:r w:rsidRPr="00230F26">
        <w:rPr>
          <w:rFonts w:ascii="Arial" w:hAnsi="Arial" w:cs="Arial"/>
          <w:sz w:val="20"/>
          <w:szCs w:val="20"/>
        </w:rPr>
        <w:t xml:space="preserve"> business capital: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>- Investment project: Maintain inve</w:t>
      </w:r>
      <w:r>
        <w:rPr>
          <w:rFonts w:ascii="Arial" w:hAnsi="Arial" w:cs="Arial"/>
          <w:sz w:val="20"/>
          <w:szCs w:val="20"/>
        </w:rPr>
        <w:t>stment for production in 2020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>- Scale of investment: Additional investment</w:t>
      </w:r>
      <w:r>
        <w:rPr>
          <w:rFonts w:ascii="Arial" w:hAnsi="Arial" w:cs="Arial"/>
          <w:sz w:val="20"/>
          <w:szCs w:val="20"/>
        </w:rPr>
        <w:t>, replacing</w:t>
      </w:r>
      <w:r w:rsidRPr="00230F26">
        <w:rPr>
          <w:rFonts w:ascii="Arial" w:hAnsi="Arial" w:cs="Arial"/>
          <w:sz w:val="20"/>
          <w:szCs w:val="20"/>
        </w:rPr>
        <w:t xml:space="preserve"> some of the recovered assets to clear the ground to build the s</w:t>
      </w:r>
      <w:r>
        <w:rPr>
          <w:rFonts w:ascii="Arial" w:hAnsi="Arial" w:cs="Arial"/>
          <w:sz w:val="20"/>
          <w:szCs w:val="20"/>
        </w:rPr>
        <w:t xml:space="preserve">ea route of Ha Long - Cam </w:t>
      </w:r>
      <w:proofErr w:type="spellStart"/>
      <w:r>
        <w:rPr>
          <w:rFonts w:ascii="Arial" w:hAnsi="Arial" w:cs="Arial"/>
          <w:sz w:val="20"/>
          <w:szCs w:val="20"/>
        </w:rPr>
        <w:t>Pha</w:t>
      </w:r>
      <w:proofErr w:type="spellEnd"/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- Supplementary source: construction investment capital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>- Additional amount: VND 5,045,064,097 (The difference</w:t>
      </w:r>
      <w:r>
        <w:rPr>
          <w:rFonts w:ascii="Arial" w:hAnsi="Arial" w:cs="Arial"/>
          <w:sz w:val="20"/>
          <w:szCs w:val="20"/>
        </w:rPr>
        <w:t xml:space="preserve"> is</w:t>
      </w:r>
      <w:r w:rsidRPr="00230F26">
        <w:rPr>
          <w:rFonts w:ascii="Arial" w:hAnsi="Arial" w:cs="Arial"/>
          <w:sz w:val="20"/>
          <w:szCs w:val="20"/>
        </w:rPr>
        <w:t xml:space="preserve"> due to the site clearance compensation) </w:t>
      </w:r>
    </w:p>
    <w:p w:rsidR="00230F26" w:rsidRDefault="00230F26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F2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30F2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eneral Meeting of Shareholders</w:t>
      </w:r>
      <w:r w:rsidRPr="00230F26">
        <w:rPr>
          <w:rFonts w:ascii="Arial" w:hAnsi="Arial" w:cs="Arial"/>
          <w:sz w:val="20"/>
          <w:szCs w:val="20"/>
        </w:rPr>
        <w:t xml:space="preserve"> approved the plan for additional </w:t>
      </w:r>
      <w:r w:rsidR="004264BA">
        <w:rPr>
          <w:rFonts w:ascii="Arial" w:hAnsi="Arial" w:cs="Arial"/>
          <w:sz w:val="20"/>
          <w:szCs w:val="20"/>
        </w:rPr>
        <w:t xml:space="preserve">business </w:t>
      </w:r>
      <w:r w:rsidRPr="00230F26">
        <w:rPr>
          <w:rFonts w:ascii="Arial" w:hAnsi="Arial" w:cs="Arial"/>
          <w:sz w:val="20"/>
          <w:szCs w:val="20"/>
        </w:rPr>
        <w:t xml:space="preserve">capital </w:t>
      </w:r>
      <w:r w:rsidR="004264BA">
        <w:rPr>
          <w:rFonts w:ascii="Arial" w:hAnsi="Arial" w:cs="Arial"/>
          <w:sz w:val="20"/>
          <w:szCs w:val="20"/>
        </w:rPr>
        <w:t>and authorized</w:t>
      </w:r>
      <w:r w:rsidRPr="00230F26">
        <w:rPr>
          <w:rFonts w:ascii="Arial" w:hAnsi="Arial" w:cs="Arial"/>
          <w:sz w:val="20"/>
          <w:szCs w:val="20"/>
        </w:rPr>
        <w:t xml:space="preserve"> the Board of Directors to base on the regulations and the </w:t>
      </w:r>
      <w:r w:rsidR="004264BA">
        <w:rPr>
          <w:rFonts w:ascii="Arial" w:hAnsi="Arial" w:cs="Arial"/>
          <w:sz w:val="20"/>
          <w:szCs w:val="20"/>
        </w:rPr>
        <w:t>actual situation</w:t>
      </w:r>
      <w:r w:rsidRPr="00230F26">
        <w:rPr>
          <w:rFonts w:ascii="Arial" w:hAnsi="Arial" w:cs="Arial"/>
          <w:sz w:val="20"/>
          <w:szCs w:val="20"/>
        </w:rPr>
        <w:t xml:space="preserve"> of the project to decide the impl</w:t>
      </w:r>
      <w:r w:rsidR="004264BA">
        <w:rPr>
          <w:rFonts w:ascii="Arial" w:hAnsi="Arial" w:cs="Arial"/>
          <w:sz w:val="20"/>
          <w:szCs w:val="20"/>
        </w:rPr>
        <w:t>ementation according to the law</w:t>
      </w:r>
    </w:p>
    <w:p w:rsidR="004264BA" w:rsidRDefault="004264B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Plan on profit distribution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4264BA" w:rsidTr="004264BA">
        <w:tc>
          <w:tcPr>
            <w:tcW w:w="558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  <w:tc>
          <w:tcPr>
            <w:tcW w:w="1916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16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22,600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20%/ profit</w:t>
            </w:r>
          </w:p>
        </w:tc>
        <w:tc>
          <w:tcPr>
            <w:tcW w:w="1916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4,520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Financial provision</w:t>
            </w: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4264BA" w:rsidRDefault="004264BA" w:rsidP="002B19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Investment and Development Fund 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2,260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Welfare and Reward Fund 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2,147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Reward fund for managers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dividend payment rate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80%/ profit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18,080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55%/ profit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12,430</w:t>
            </w:r>
          </w:p>
        </w:tc>
      </w:tr>
      <w:tr w:rsidR="004264BA" w:rsidTr="004264BA">
        <w:tc>
          <w:tcPr>
            <w:tcW w:w="558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5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25%/ profit</w:t>
            </w:r>
          </w:p>
        </w:tc>
        <w:tc>
          <w:tcPr>
            <w:tcW w:w="1916" w:type="dxa"/>
          </w:tcPr>
          <w:p w:rsidR="004264BA" w:rsidRDefault="004264BA" w:rsidP="004264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5,650</w:t>
            </w:r>
          </w:p>
        </w:tc>
      </w:tr>
    </w:tbl>
    <w:p w:rsidR="004264BA" w:rsidRDefault="004264B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64BA" w:rsidRDefault="004264B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Statement on investment plan for 2020 and 5-year plan (2021 – 2025)</w:t>
      </w:r>
    </w:p>
    <w:p w:rsidR="004264BA" w:rsidRDefault="004264B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 maintain the effective business operation, the annual General Meeting of Shareholders authorized the Board of Directors to decide the implementation of investment projects in 2020 and 5-year plan (2021 – 2025)</w:t>
      </w:r>
    </w:p>
    <w:p w:rsidR="004264BA" w:rsidRDefault="004264BA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assigned the Board of Directors to implement the project</w:t>
      </w:r>
    </w:p>
    <w:p w:rsidR="00141ED4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Approving the plan on</w:t>
      </w:r>
      <w:r w:rsidR="00141ED4">
        <w:rPr>
          <w:rFonts w:ascii="Arial" w:hAnsi="Arial" w:cs="Arial"/>
          <w:sz w:val="20"/>
          <w:szCs w:val="20"/>
        </w:rPr>
        <w:t xml:space="preserve"> hiring</w:t>
      </w:r>
      <w:r w:rsidRPr="004264BA">
        <w:rPr>
          <w:rFonts w:ascii="Arial" w:hAnsi="Arial" w:cs="Arial"/>
          <w:sz w:val="20"/>
          <w:szCs w:val="20"/>
        </w:rPr>
        <w:t xml:space="preserve"> </w:t>
      </w:r>
      <w:r w:rsidR="00141ED4">
        <w:rPr>
          <w:rFonts w:ascii="Arial" w:hAnsi="Arial" w:cs="Arial"/>
          <w:sz w:val="20"/>
          <w:szCs w:val="20"/>
        </w:rPr>
        <w:t>the waterway</w:t>
      </w:r>
      <w:r w:rsidRPr="004264BA">
        <w:rPr>
          <w:rFonts w:ascii="Arial" w:hAnsi="Arial" w:cs="Arial"/>
          <w:sz w:val="20"/>
          <w:szCs w:val="20"/>
        </w:rPr>
        <w:t xml:space="preserve"> transport in 2020  </w:t>
      </w:r>
    </w:p>
    <w:p w:rsidR="00141ED4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4BA">
        <w:rPr>
          <w:rFonts w:ascii="Arial" w:hAnsi="Arial" w:cs="Arial"/>
          <w:sz w:val="20"/>
          <w:szCs w:val="20"/>
        </w:rPr>
        <w:t xml:space="preserve">To </w:t>
      </w:r>
      <w:r w:rsidR="00141ED4">
        <w:rPr>
          <w:rFonts w:ascii="Arial" w:hAnsi="Arial" w:cs="Arial"/>
          <w:sz w:val="20"/>
          <w:szCs w:val="20"/>
        </w:rPr>
        <w:t xml:space="preserve">maintain the </w:t>
      </w:r>
      <w:r w:rsidRPr="004264BA">
        <w:rPr>
          <w:rFonts w:ascii="Arial" w:hAnsi="Arial" w:cs="Arial"/>
          <w:sz w:val="20"/>
          <w:szCs w:val="20"/>
        </w:rPr>
        <w:t>timely and effective prod</w:t>
      </w:r>
      <w:r w:rsidR="00141ED4">
        <w:rPr>
          <w:rFonts w:ascii="Arial" w:hAnsi="Arial" w:cs="Arial"/>
          <w:sz w:val="20"/>
          <w:szCs w:val="20"/>
        </w:rPr>
        <w:t>uction and business activities, t</w:t>
      </w:r>
      <w:r w:rsidRPr="004264BA">
        <w:rPr>
          <w:rFonts w:ascii="Arial" w:hAnsi="Arial" w:cs="Arial"/>
          <w:sz w:val="20"/>
          <w:szCs w:val="20"/>
        </w:rPr>
        <w:t xml:space="preserve">he Board of Directors of the </w:t>
      </w:r>
      <w:r w:rsidR="00141ED4">
        <w:rPr>
          <w:rFonts w:ascii="Arial" w:hAnsi="Arial" w:cs="Arial"/>
          <w:sz w:val="20"/>
          <w:szCs w:val="20"/>
        </w:rPr>
        <w:t>C</w:t>
      </w:r>
      <w:r w:rsidRPr="004264BA">
        <w:rPr>
          <w:rFonts w:ascii="Arial" w:hAnsi="Arial" w:cs="Arial"/>
          <w:sz w:val="20"/>
          <w:szCs w:val="20"/>
        </w:rPr>
        <w:t>ompany reported to</w:t>
      </w:r>
      <w:r w:rsidR="00141ED4">
        <w:rPr>
          <w:rFonts w:ascii="Arial" w:hAnsi="Arial" w:cs="Arial"/>
          <w:sz w:val="20"/>
          <w:szCs w:val="20"/>
        </w:rPr>
        <w:t xml:space="preserve"> consult</w:t>
      </w:r>
      <w:r w:rsidRPr="004264BA">
        <w:rPr>
          <w:rFonts w:ascii="Arial" w:hAnsi="Arial" w:cs="Arial"/>
          <w:sz w:val="20"/>
          <w:szCs w:val="20"/>
        </w:rPr>
        <w:t xml:space="preserve"> the </w:t>
      </w:r>
      <w:r w:rsidR="00141ED4">
        <w:rPr>
          <w:rFonts w:ascii="Arial" w:hAnsi="Arial" w:cs="Arial"/>
          <w:sz w:val="20"/>
          <w:szCs w:val="20"/>
        </w:rPr>
        <w:t xml:space="preserve">annual </w:t>
      </w:r>
      <w:r w:rsidRPr="004264BA">
        <w:rPr>
          <w:rFonts w:ascii="Arial" w:hAnsi="Arial" w:cs="Arial"/>
          <w:sz w:val="20"/>
          <w:szCs w:val="20"/>
        </w:rPr>
        <w:t>General Meet</w:t>
      </w:r>
      <w:r w:rsidR="00141ED4">
        <w:rPr>
          <w:rFonts w:ascii="Arial" w:hAnsi="Arial" w:cs="Arial"/>
          <w:sz w:val="20"/>
          <w:szCs w:val="20"/>
        </w:rPr>
        <w:t>ing of Shareholders to decide the plan on hiring</w:t>
      </w:r>
      <w:r w:rsidRPr="004264BA">
        <w:rPr>
          <w:rFonts w:ascii="Arial" w:hAnsi="Arial" w:cs="Arial"/>
          <w:sz w:val="20"/>
          <w:szCs w:val="20"/>
        </w:rPr>
        <w:t xml:space="preserve"> more </w:t>
      </w:r>
      <w:r w:rsidR="00141ED4" w:rsidRPr="004264BA">
        <w:rPr>
          <w:rFonts w:ascii="Arial" w:hAnsi="Arial" w:cs="Arial"/>
          <w:sz w:val="20"/>
          <w:szCs w:val="20"/>
        </w:rPr>
        <w:t>means</w:t>
      </w:r>
      <w:r w:rsidR="00141ED4" w:rsidRPr="004264BA">
        <w:rPr>
          <w:rFonts w:ascii="Arial" w:hAnsi="Arial" w:cs="Arial"/>
          <w:sz w:val="20"/>
          <w:szCs w:val="20"/>
        </w:rPr>
        <w:t xml:space="preserve"> </w:t>
      </w:r>
      <w:r w:rsidR="00141ED4">
        <w:rPr>
          <w:rFonts w:ascii="Arial" w:hAnsi="Arial" w:cs="Arial"/>
          <w:sz w:val="20"/>
          <w:szCs w:val="20"/>
        </w:rPr>
        <w:t xml:space="preserve">of </w:t>
      </w:r>
      <w:r w:rsidRPr="004264BA">
        <w:rPr>
          <w:rFonts w:ascii="Arial" w:hAnsi="Arial" w:cs="Arial"/>
          <w:sz w:val="20"/>
          <w:szCs w:val="20"/>
        </w:rPr>
        <w:t>water</w:t>
      </w:r>
      <w:r w:rsidR="00141ED4">
        <w:rPr>
          <w:rFonts w:ascii="Arial" w:hAnsi="Arial" w:cs="Arial"/>
          <w:sz w:val="20"/>
          <w:szCs w:val="20"/>
        </w:rPr>
        <w:t>way</w:t>
      </w:r>
      <w:r w:rsidRPr="004264BA">
        <w:rPr>
          <w:rFonts w:ascii="Arial" w:hAnsi="Arial" w:cs="Arial"/>
          <w:sz w:val="20"/>
          <w:szCs w:val="20"/>
        </w:rPr>
        <w:t xml:space="preserve"> transport, expected from 30</w:t>
      </w:r>
      <w:r w:rsidR="00141ED4">
        <w:rPr>
          <w:rFonts w:ascii="Arial" w:hAnsi="Arial" w:cs="Arial"/>
          <w:sz w:val="20"/>
          <w:szCs w:val="20"/>
        </w:rPr>
        <w:t xml:space="preserve">,000 to 40,000 tons </w:t>
      </w:r>
    </w:p>
    <w:p w:rsidR="00141ED4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4BA">
        <w:rPr>
          <w:rFonts w:ascii="Arial" w:hAnsi="Arial" w:cs="Arial"/>
          <w:sz w:val="20"/>
          <w:szCs w:val="20"/>
        </w:rPr>
        <w:t xml:space="preserve"> The </w:t>
      </w:r>
      <w:r w:rsidR="00141ED4">
        <w:rPr>
          <w:rFonts w:ascii="Arial" w:hAnsi="Arial" w:cs="Arial"/>
          <w:sz w:val="20"/>
          <w:szCs w:val="20"/>
        </w:rPr>
        <w:t>annual General Meeting of Shareholders</w:t>
      </w:r>
      <w:r w:rsidRPr="004264BA">
        <w:rPr>
          <w:rFonts w:ascii="Arial" w:hAnsi="Arial" w:cs="Arial"/>
          <w:sz w:val="20"/>
          <w:szCs w:val="20"/>
        </w:rPr>
        <w:t xml:space="preserve"> agreed to assign the Board of Directors of the company </w:t>
      </w:r>
      <w:r w:rsidR="00141ED4">
        <w:rPr>
          <w:rFonts w:ascii="Arial" w:hAnsi="Arial" w:cs="Arial"/>
          <w:sz w:val="20"/>
          <w:szCs w:val="20"/>
        </w:rPr>
        <w:t>based on the actual situation to carry out</w:t>
      </w:r>
      <w:r w:rsidRPr="004264BA">
        <w:rPr>
          <w:rFonts w:ascii="Arial" w:hAnsi="Arial" w:cs="Arial"/>
          <w:sz w:val="20"/>
          <w:szCs w:val="20"/>
        </w:rPr>
        <w:t xml:space="preserve">  </w:t>
      </w:r>
    </w:p>
    <w:p w:rsidR="00141ED4" w:rsidRDefault="00141ED4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A</w:t>
      </w:r>
      <w:r w:rsidR="004264BA" w:rsidRPr="004264BA">
        <w:rPr>
          <w:rFonts w:ascii="Arial" w:hAnsi="Arial" w:cs="Arial"/>
          <w:sz w:val="20"/>
          <w:szCs w:val="20"/>
        </w:rPr>
        <w:t xml:space="preserve">pprove the authorization letter to the Board of Directors of the Company to carry out the procedures, </w:t>
      </w:r>
      <w:r>
        <w:rPr>
          <w:rFonts w:ascii="Arial" w:hAnsi="Arial" w:cs="Arial"/>
          <w:sz w:val="20"/>
          <w:szCs w:val="20"/>
        </w:rPr>
        <w:t>legal documents and to decide</w:t>
      </w:r>
      <w:r w:rsidR="004264BA" w:rsidRPr="004264BA">
        <w:rPr>
          <w:rFonts w:ascii="Arial" w:hAnsi="Arial" w:cs="Arial"/>
          <w:sz w:val="20"/>
          <w:szCs w:val="20"/>
        </w:rPr>
        <w:t xml:space="preserve"> issues related to the daily business and product</w:t>
      </w:r>
      <w:r>
        <w:rPr>
          <w:rFonts w:ascii="Arial" w:hAnsi="Arial" w:cs="Arial"/>
          <w:sz w:val="20"/>
          <w:szCs w:val="20"/>
        </w:rPr>
        <w:t>ion activities of the Company</w:t>
      </w:r>
    </w:p>
    <w:p w:rsidR="00141ED4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4BA">
        <w:rPr>
          <w:rFonts w:ascii="Arial" w:hAnsi="Arial" w:cs="Arial"/>
          <w:sz w:val="20"/>
          <w:szCs w:val="20"/>
        </w:rPr>
        <w:t>To ensure the maintenance of timely and effective prod</w:t>
      </w:r>
      <w:r w:rsidR="00141ED4">
        <w:rPr>
          <w:rFonts w:ascii="Arial" w:hAnsi="Arial" w:cs="Arial"/>
          <w:sz w:val="20"/>
          <w:szCs w:val="20"/>
        </w:rPr>
        <w:t>uction and business activities, th</w:t>
      </w:r>
      <w:r w:rsidRPr="004264BA">
        <w:rPr>
          <w:rFonts w:ascii="Arial" w:hAnsi="Arial" w:cs="Arial"/>
          <w:sz w:val="20"/>
          <w:szCs w:val="20"/>
        </w:rPr>
        <w:t xml:space="preserve">e </w:t>
      </w:r>
      <w:r w:rsidR="00141ED4">
        <w:rPr>
          <w:rFonts w:ascii="Arial" w:hAnsi="Arial" w:cs="Arial"/>
          <w:sz w:val="20"/>
          <w:szCs w:val="20"/>
        </w:rPr>
        <w:t xml:space="preserve">annual </w:t>
      </w:r>
      <w:r w:rsidRPr="004264BA">
        <w:rPr>
          <w:rFonts w:ascii="Arial" w:hAnsi="Arial" w:cs="Arial"/>
          <w:sz w:val="20"/>
          <w:szCs w:val="20"/>
        </w:rPr>
        <w:t>General Me</w:t>
      </w:r>
      <w:r w:rsidR="00141ED4">
        <w:rPr>
          <w:rFonts w:ascii="Arial" w:hAnsi="Arial" w:cs="Arial"/>
          <w:sz w:val="20"/>
          <w:szCs w:val="20"/>
        </w:rPr>
        <w:t>eting of Shareholders authorized</w:t>
      </w:r>
      <w:r w:rsidRPr="004264BA">
        <w:rPr>
          <w:rFonts w:ascii="Arial" w:hAnsi="Arial" w:cs="Arial"/>
          <w:sz w:val="20"/>
          <w:szCs w:val="20"/>
        </w:rPr>
        <w:t xml:space="preserve"> the Board of Directors to decide the following: </w:t>
      </w:r>
    </w:p>
    <w:p w:rsidR="00141ED4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4BA">
        <w:rPr>
          <w:rFonts w:ascii="Arial" w:hAnsi="Arial" w:cs="Arial"/>
          <w:sz w:val="20"/>
          <w:szCs w:val="20"/>
        </w:rPr>
        <w:t xml:space="preserve">+ Carry out legal procedures, documents and decide issues related to production and business activities, transaction contracts, </w:t>
      </w:r>
      <w:r w:rsidR="00141ED4">
        <w:rPr>
          <w:rFonts w:ascii="Arial" w:hAnsi="Arial" w:cs="Arial"/>
          <w:sz w:val="20"/>
          <w:szCs w:val="20"/>
        </w:rPr>
        <w:t xml:space="preserve">loan contracts, </w:t>
      </w:r>
      <w:r w:rsidRPr="004264BA">
        <w:rPr>
          <w:rFonts w:ascii="Arial" w:hAnsi="Arial" w:cs="Arial"/>
          <w:sz w:val="20"/>
          <w:szCs w:val="20"/>
        </w:rPr>
        <w:t>working capital loans to maintain production and busin</w:t>
      </w:r>
      <w:r w:rsidR="00141ED4">
        <w:rPr>
          <w:rFonts w:ascii="Arial" w:hAnsi="Arial" w:cs="Arial"/>
          <w:sz w:val="20"/>
          <w:szCs w:val="20"/>
        </w:rPr>
        <w:t>ess activities of the Company</w:t>
      </w:r>
    </w:p>
    <w:p w:rsidR="004264BA" w:rsidRDefault="004264BA" w:rsidP="00426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4BA">
        <w:rPr>
          <w:rFonts w:ascii="Arial" w:hAnsi="Arial" w:cs="Arial"/>
          <w:sz w:val="20"/>
          <w:szCs w:val="20"/>
        </w:rPr>
        <w:t xml:space="preserve">+ In case of effective production and business, labor productivity and profit increase and exceed the plan.  To ensure quick capital recovery, </w:t>
      </w:r>
      <w:r w:rsidR="00141ED4">
        <w:rPr>
          <w:rFonts w:ascii="Arial" w:hAnsi="Arial" w:cs="Arial"/>
          <w:sz w:val="20"/>
          <w:szCs w:val="20"/>
        </w:rPr>
        <w:t>maintain</w:t>
      </w:r>
      <w:r w:rsidRPr="004264BA">
        <w:rPr>
          <w:rFonts w:ascii="Arial" w:hAnsi="Arial" w:cs="Arial"/>
          <w:sz w:val="20"/>
          <w:szCs w:val="20"/>
        </w:rPr>
        <w:t xml:space="preserve"> </w:t>
      </w:r>
      <w:r w:rsidR="00141ED4">
        <w:rPr>
          <w:rFonts w:ascii="Arial" w:hAnsi="Arial" w:cs="Arial"/>
          <w:sz w:val="20"/>
          <w:szCs w:val="20"/>
        </w:rPr>
        <w:t>the</w:t>
      </w:r>
      <w:r w:rsidRPr="004264BA">
        <w:rPr>
          <w:rFonts w:ascii="Arial" w:hAnsi="Arial" w:cs="Arial"/>
          <w:sz w:val="20"/>
          <w:szCs w:val="20"/>
        </w:rPr>
        <w:t xml:space="preserve"> prod</w:t>
      </w:r>
      <w:r w:rsidR="00141ED4">
        <w:rPr>
          <w:rFonts w:ascii="Arial" w:hAnsi="Arial" w:cs="Arial"/>
          <w:sz w:val="20"/>
          <w:szCs w:val="20"/>
        </w:rPr>
        <w:t>uction and business activities, a</w:t>
      </w:r>
      <w:r w:rsidRPr="004264BA">
        <w:rPr>
          <w:rFonts w:ascii="Arial" w:hAnsi="Arial" w:cs="Arial"/>
          <w:sz w:val="20"/>
          <w:szCs w:val="20"/>
        </w:rPr>
        <w:t xml:space="preserve">ccording to the actual situation, the </w:t>
      </w:r>
      <w:r w:rsidR="00141ED4">
        <w:rPr>
          <w:rFonts w:ascii="Arial" w:hAnsi="Arial" w:cs="Arial"/>
          <w:sz w:val="20"/>
          <w:szCs w:val="20"/>
        </w:rPr>
        <w:t>annual General Meeting of Shareholders authorized</w:t>
      </w:r>
      <w:r w:rsidRPr="004264BA">
        <w:rPr>
          <w:rFonts w:ascii="Arial" w:hAnsi="Arial" w:cs="Arial"/>
          <w:sz w:val="20"/>
          <w:szCs w:val="20"/>
        </w:rPr>
        <w:t xml:space="preserve"> the</w:t>
      </w:r>
      <w:r w:rsidR="00141ED4">
        <w:rPr>
          <w:rFonts w:ascii="Arial" w:hAnsi="Arial" w:cs="Arial"/>
          <w:sz w:val="20"/>
          <w:szCs w:val="20"/>
        </w:rPr>
        <w:t xml:space="preserve"> Board of Directors to decide</w:t>
      </w:r>
      <w:r w:rsidRPr="004264BA">
        <w:rPr>
          <w:rFonts w:ascii="Arial" w:hAnsi="Arial" w:cs="Arial"/>
          <w:sz w:val="20"/>
          <w:szCs w:val="20"/>
        </w:rPr>
        <w:t xml:space="preserve"> the </w:t>
      </w:r>
      <w:r w:rsidR="00141ED4">
        <w:rPr>
          <w:rFonts w:ascii="Arial" w:hAnsi="Arial" w:cs="Arial"/>
          <w:sz w:val="20"/>
          <w:szCs w:val="20"/>
        </w:rPr>
        <w:t>quick</w:t>
      </w:r>
      <w:r w:rsidRPr="004264BA">
        <w:rPr>
          <w:rFonts w:ascii="Arial" w:hAnsi="Arial" w:cs="Arial"/>
          <w:sz w:val="20"/>
          <w:szCs w:val="20"/>
        </w:rPr>
        <w:t xml:space="preserve"> depreciation (the rate of rapid depreciation must not exceed twice) in accordance with the Ministry of Finance's regulations on manage</w:t>
      </w:r>
      <w:r w:rsidR="00141ED4">
        <w:rPr>
          <w:rFonts w:ascii="Arial" w:hAnsi="Arial" w:cs="Arial"/>
          <w:sz w:val="20"/>
          <w:szCs w:val="20"/>
        </w:rPr>
        <w:t xml:space="preserve">ment, </w:t>
      </w:r>
      <w:r w:rsidRPr="004264BA">
        <w:rPr>
          <w:rFonts w:ascii="Arial" w:hAnsi="Arial" w:cs="Arial"/>
          <w:sz w:val="20"/>
          <w:szCs w:val="20"/>
        </w:rPr>
        <w:t>use a</w:t>
      </w:r>
      <w:r w:rsidR="00141ED4">
        <w:rPr>
          <w:rFonts w:ascii="Arial" w:hAnsi="Arial" w:cs="Arial"/>
          <w:sz w:val="20"/>
          <w:szCs w:val="20"/>
        </w:rPr>
        <w:t>nd depreciation of fixed assets</w:t>
      </w:r>
      <w:r w:rsidR="00686FBE">
        <w:rPr>
          <w:rFonts w:ascii="Arial" w:hAnsi="Arial" w:cs="Arial"/>
          <w:sz w:val="20"/>
          <w:szCs w:val="20"/>
        </w:rPr>
        <w:t xml:space="preserve"> but</w:t>
      </w:r>
      <w:r w:rsidRPr="004264BA">
        <w:rPr>
          <w:rFonts w:ascii="Arial" w:hAnsi="Arial" w:cs="Arial"/>
          <w:sz w:val="20"/>
          <w:szCs w:val="20"/>
        </w:rPr>
        <w:t xml:space="preserve"> ensure the</w:t>
      </w:r>
      <w:r w:rsidR="00686FBE">
        <w:rPr>
          <w:rFonts w:ascii="Arial" w:hAnsi="Arial" w:cs="Arial"/>
          <w:sz w:val="20"/>
          <w:szCs w:val="20"/>
        </w:rPr>
        <w:t xml:space="preserve"> completion of the profit plan made by</w:t>
      </w:r>
      <w:r w:rsidRPr="004264BA">
        <w:rPr>
          <w:rFonts w:ascii="Arial" w:hAnsi="Arial" w:cs="Arial"/>
          <w:sz w:val="20"/>
          <w:szCs w:val="20"/>
        </w:rPr>
        <w:t xml:space="preserve"> the Company </w:t>
      </w:r>
    </w:p>
    <w:p w:rsidR="00A45C9D" w:rsidRDefault="00A45C9D" w:rsidP="00A45C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Approve the statement</w:t>
      </w:r>
      <w:r w:rsidRPr="00A45C9D">
        <w:rPr>
          <w:rFonts w:ascii="Arial" w:hAnsi="Arial" w:cs="Arial"/>
          <w:sz w:val="20"/>
          <w:szCs w:val="20"/>
        </w:rPr>
        <w:t xml:space="preserve"> on selection of </w:t>
      </w:r>
      <w:r>
        <w:rPr>
          <w:rFonts w:ascii="Arial" w:hAnsi="Arial" w:cs="Arial"/>
          <w:sz w:val="20"/>
          <w:szCs w:val="20"/>
        </w:rPr>
        <w:t>an auditing unit to audit financial statement of 2020</w:t>
      </w:r>
    </w:p>
    <w:p w:rsidR="00A45C9D" w:rsidRDefault="00A45C9D" w:rsidP="00A45C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45C9D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45C9D">
        <w:rPr>
          <w:rFonts w:ascii="Arial" w:hAnsi="Arial" w:cs="Arial"/>
          <w:sz w:val="20"/>
          <w:szCs w:val="20"/>
        </w:rPr>
        <w:t xml:space="preserve"> approve</w:t>
      </w:r>
      <w:r>
        <w:rPr>
          <w:rFonts w:ascii="Arial" w:hAnsi="Arial" w:cs="Arial"/>
          <w:sz w:val="20"/>
          <w:szCs w:val="20"/>
        </w:rPr>
        <w:t>d the authorization for</w:t>
      </w:r>
      <w:r w:rsidRPr="00A45C9D">
        <w:rPr>
          <w:rFonts w:ascii="Arial" w:hAnsi="Arial" w:cs="Arial"/>
          <w:sz w:val="20"/>
          <w:szCs w:val="20"/>
        </w:rPr>
        <w:t xml:space="preserve"> the Board of Directors based o</w:t>
      </w:r>
      <w:r>
        <w:rPr>
          <w:rFonts w:ascii="Arial" w:hAnsi="Arial" w:cs="Arial"/>
          <w:sz w:val="20"/>
          <w:szCs w:val="20"/>
        </w:rPr>
        <w:t>n the competence, qualification</w:t>
      </w:r>
      <w:r w:rsidRPr="00A45C9D">
        <w:rPr>
          <w:rFonts w:ascii="Arial" w:hAnsi="Arial" w:cs="Arial"/>
          <w:sz w:val="20"/>
          <w:szCs w:val="20"/>
        </w:rPr>
        <w:t xml:space="preserve"> and professional auditor team of independent auditing firms, meeting the audit standards for public companies certified by the </w:t>
      </w:r>
      <w:r>
        <w:rPr>
          <w:rFonts w:ascii="Arial" w:hAnsi="Arial" w:cs="Arial"/>
          <w:sz w:val="20"/>
          <w:szCs w:val="20"/>
        </w:rPr>
        <w:t>State Securities Committee</w:t>
      </w:r>
      <w:r w:rsidRPr="00A45C9D">
        <w:rPr>
          <w:rFonts w:ascii="Arial" w:hAnsi="Arial" w:cs="Arial"/>
          <w:sz w:val="20"/>
          <w:szCs w:val="20"/>
        </w:rPr>
        <w:t xml:space="preserve"> to perform the audit of financial statemen</w:t>
      </w:r>
      <w:r>
        <w:rPr>
          <w:rFonts w:ascii="Arial" w:hAnsi="Arial" w:cs="Arial"/>
          <w:sz w:val="20"/>
          <w:szCs w:val="20"/>
        </w:rPr>
        <w:t>t</w:t>
      </w:r>
      <w:r w:rsidRPr="00A45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A45C9D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</w:t>
      </w:r>
      <w:r w:rsidRPr="00A45C9D">
        <w:rPr>
          <w:rFonts w:ascii="Arial" w:hAnsi="Arial" w:cs="Arial"/>
          <w:sz w:val="20"/>
          <w:szCs w:val="20"/>
        </w:rPr>
        <w:t>of the Company</w:t>
      </w:r>
    </w:p>
    <w:p w:rsidR="00A45C9D" w:rsidRDefault="00A45C9D" w:rsidP="00A45C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C9D">
        <w:rPr>
          <w:rFonts w:ascii="Arial" w:hAnsi="Arial" w:cs="Arial"/>
          <w:sz w:val="20"/>
          <w:szCs w:val="20"/>
        </w:rPr>
        <w:t xml:space="preserve">Article 11: Terms of implementation </w:t>
      </w:r>
    </w:p>
    <w:p w:rsidR="00A45C9D" w:rsidRDefault="00A45C9D" w:rsidP="00A45C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annual General Mandate 2020 of </w:t>
      </w:r>
      <w:r w:rsidRPr="00A45C9D">
        <w:rPr>
          <w:rFonts w:ascii="Arial" w:hAnsi="Arial" w:cs="Arial"/>
          <w:sz w:val="20"/>
          <w:szCs w:val="20"/>
        </w:rPr>
        <w:t xml:space="preserve">Dong Bac Transport </w:t>
      </w:r>
      <w:proofErr w:type="gramStart"/>
      <w:r w:rsidRPr="00A45C9D">
        <w:rPr>
          <w:rFonts w:ascii="Arial" w:hAnsi="Arial" w:cs="Arial"/>
          <w:sz w:val="20"/>
          <w:szCs w:val="20"/>
        </w:rPr>
        <w:t>And</w:t>
      </w:r>
      <w:proofErr w:type="gramEnd"/>
      <w:r w:rsidRPr="00A45C9D">
        <w:rPr>
          <w:rFonts w:ascii="Arial" w:hAnsi="Arial" w:cs="Arial"/>
          <w:sz w:val="20"/>
          <w:szCs w:val="20"/>
        </w:rPr>
        <w:t xml:space="preserve"> Processing Of Coal Joint Stock Company </w:t>
      </w:r>
      <w:r>
        <w:rPr>
          <w:rFonts w:ascii="Arial" w:hAnsi="Arial" w:cs="Arial"/>
          <w:sz w:val="20"/>
          <w:szCs w:val="20"/>
        </w:rPr>
        <w:t>was</w:t>
      </w:r>
      <w:r w:rsidRPr="00A45C9D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at the annual General Meeting of Shareholders of 2020 and took effect from 13 May 2020</w:t>
      </w:r>
    </w:p>
    <w:p w:rsidR="00686FBE" w:rsidRPr="00A45C9D" w:rsidRDefault="00A45C9D" w:rsidP="00A45C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C9D">
        <w:rPr>
          <w:rFonts w:ascii="Arial" w:hAnsi="Arial" w:cs="Arial"/>
          <w:sz w:val="20"/>
          <w:szCs w:val="20"/>
        </w:rPr>
        <w:t>The Board of Directors, the Company Director, the Supervisory Board and related persons are responsible for implementing this Resolution, ensuring the interests of shareholders and compl</w:t>
      </w:r>
      <w:r>
        <w:rPr>
          <w:rFonts w:ascii="Arial" w:hAnsi="Arial" w:cs="Arial"/>
          <w:sz w:val="20"/>
          <w:szCs w:val="20"/>
        </w:rPr>
        <w:t>ying with the law</w:t>
      </w:r>
    </w:p>
    <w:sectPr w:rsidR="00686FBE" w:rsidRPr="00A4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0BD3"/>
    <w:rsid w:val="00132EC5"/>
    <w:rsid w:val="00137F24"/>
    <w:rsid w:val="00140C63"/>
    <w:rsid w:val="00141ED4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28E5"/>
    <w:rsid w:val="00216A5D"/>
    <w:rsid w:val="00221EC5"/>
    <w:rsid w:val="00225894"/>
    <w:rsid w:val="00230F26"/>
    <w:rsid w:val="00232199"/>
    <w:rsid w:val="00265ECA"/>
    <w:rsid w:val="00296BF9"/>
    <w:rsid w:val="002B19B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071A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64BA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1550B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22E"/>
    <w:rsid w:val="0058434E"/>
    <w:rsid w:val="005906FC"/>
    <w:rsid w:val="00595D36"/>
    <w:rsid w:val="005B40E5"/>
    <w:rsid w:val="005D5EDB"/>
    <w:rsid w:val="005E105A"/>
    <w:rsid w:val="005E6721"/>
    <w:rsid w:val="006000D8"/>
    <w:rsid w:val="00601895"/>
    <w:rsid w:val="0061306A"/>
    <w:rsid w:val="00627358"/>
    <w:rsid w:val="0063035E"/>
    <w:rsid w:val="0063242E"/>
    <w:rsid w:val="006374A1"/>
    <w:rsid w:val="00662D37"/>
    <w:rsid w:val="006838B7"/>
    <w:rsid w:val="00686FBE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77C64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7D79"/>
    <w:rsid w:val="00965014"/>
    <w:rsid w:val="00981275"/>
    <w:rsid w:val="0098256C"/>
    <w:rsid w:val="009C28F2"/>
    <w:rsid w:val="009D7A09"/>
    <w:rsid w:val="009E0E29"/>
    <w:rsid w:val="009E1744"/>
    <w:rsid w:val="009E71CB"/>
    <w:rsid w:val="009F40C1"/>
    <w:rsid w:val="00A01930"/>
    <w:rsid w:val="00A06443"/>
    <w:rsid w:val="00A06521"/>
    <w:rsid w:val="00A128FC"/>
    <w:rsid w:val="00A33B01"/>
    <w:rsid w:val="00A34999"/>
    <w:rsid w:val="00A45C9D"/>
    <w:rsid w:val="00A45CC6"/>
    <w:rsid w:val="00A4710B"/>
    <w:rsid w:val="00A51F8D"/>
    <w:rsid w:val="00A63B6C"/>
    <w:rsid w:val="00A70462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BD2"/>
    <w:rsid w:val="00B97E0D"/>
    <w:rsid w:val="00BA1F12"/>
    <w:rsid w:val="00BA3FB7"/>
    <w:rsid w:val="00BB149F"/>
    <w:rsid w:val="00BB2980"/>
    <w:rsid w:val="00BD3CCA"/>
    <w:rsid w:val="00BD6E49"/>
    <w:rsid w:val="00BE0C1C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4547"/>
    <w:rsid w:val="00C65003"/>
    <w:rsid w:val="00C7067B"/>
    <w:rsid w:val="00C940B5"/>
    <w:rsid w:val="00CA117B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90A4E"/>
    <w:rsid w:val="00D92955"/>
    <w:rsid w:val="00D92EFF"/>
    <w:rsid w:val="00D958D6"/>
    <w:rsid w:val="00DA3531"/>
    <w:rsid w:val="00DA3891"/>
    <w:rsid w:val="00DA54D0"/>
    <w:rsid w:val="00DB5EDC"/>
    <w:rsid w:val="00DC129B"/>
    <w:rsid w:val="00DD1205"/>
    <w:rsid w:val="00DD263A"/>
    <w:rsid w:val="00DD4D24"/>
    <w:rsid w:val="00DE2ED1"/>
    <w:rsid w:val="00DE5C3C"/>
    <w:rsid w:val="00DF4180"/>
    <w:rsid w:val="00DF739B"/>
    <w:rsid w:val="00E13C77"/>
    <w:rsid w:val="00E16D8D"/>
    <w:rsid w:val="00E24D88"/>
    <w:rsid w:val="00E24F0A"/>
    <w:rsid w:val="00E24F9B"/>
    <w:rsid w:val="00E254DD"/>
    <w:rsid w:val="00E51C91"/>
    <w:rsid w:val="00E51F4E"/>
    <w:rsid w:val="00E5565D"/>
    <w:rsid w:val="00E76EEC"/>
    <w:rsid w:val="00E80D5C"/>
    <w:rsid w:val="00E832E4"/>
    <w:rsid w:val="00E94495"/>
    <w:rsid w:val="00E96D65"/>
    <w:rsid w:val="00EB4672"/>
    <w:rsid w:val="00ED6D41"/>
    <w:rsid w:val="00EE3928"/>
    <w:rsid w:val="00EE4E03"/>
    <w:rsid w:val="00EE6F1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74775"/>
    <w:rsid w:val="00F8681C"/>
    <w:rsid w:val="00F86F7A"/>
    <w:rsid w:val="00F903A5"/>
    <w:rsid w:val="00F961EB"/>
    <w:rsid w:val="00FA631A"/>
    <w:rsid w:val="00FC153A"/>
    <w:rsid w:val="00FC29DB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5E8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255</cp:revision>
  <dcterms:created xsi:type="dcterms:W3CDTF">2019-10-16T10:03:00Z</dcterms:created>
  <dcterms:modified xsi:type="dcterms:W3CDTF">2020-05-21T00:49:00Z</dcterms:modified>
</cp:coreProperties>
</file>